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D7FD2" w14:textId="77777777" w:rsidR="00341F5E" w:rsidRDefault="00341F5E" w:rsidP="00341F5E">
      <w:pPr>
        <w:jc w:val="center"/>
        <w:rPr>
          <w:rFonts w:ascii="Arial" w:hAnsi="Arial" w:cs="Arial"/>
          <w:b/>
          <w:sz w:val="24"/>
          <w:szCs w:val="24"/>
        </w:rPr>
      </w:pPr>
    </w:p>
    <w:p w14:paraId="7D268E19" w14:textId="376FFD19" w:rsidR="00341F5E" w:rsidRDefault="00341F5E" w:rsidP="00341F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CONCURSO PÚBLICO PARA EMPREGO PÚBLICO</w:t>
      </w:r>
    </w:p>
    <w:p w14:paraId="4B265AC1" w14:textId="6471B8ED" w:rsidR="00341F5E" w:rsidRDefault="00341F5E" w:rsidP="00341F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002/2025</w:t>
      </w:r>
    </w:p>
    <w:p w14:paraId="46DF0BC2" w14:textId="3E56C79B" w:rsidR="00341F5E" w:rsidRDefault="00341F5E" w:rsidP="00341F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MÉDICO </w:t>
      </w:r>
      <w:r w:rsidR="0066737A">
        <w:rPr>
          <w:rFonts w:ascii="Arial" w:hAnsi="Arial" w:cs="Arial"/>
          <w:b/>
          <w:sz w:val="24"/>
          <w:szCs w:val="24"/>
        </w:rPr>
        <w:t xml:space="preserve">PEDIATRA </w:t>
      </w:r>
    </w:p>
    <w:p w14:paraId="706DB83B" w14:textId="77777777" w:rsidR="00341F5E" w:rsidRDefault="00341F5E" w:rsidP="00341F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INSTRUÇÕES</w:t>
      </w:r>
    </w:p>
    <w:p w14:paraId="3C4199C2" w14:textId="77777777" w:rsidR="00341F5E" w:rsidRDefault="00341F5E" w:rsidP="00341F5E">
      <w:pPr>
        <w:jc w:val="both"/>
        <w:rPr>
          <w:rFonts w:ascii="Arial" w:hAnsi="Arial" w:cs="Arial"/>
          <w:b/>
          <w:sz w:val="24"/>
          <w:szCs w:val="24"/>
        </w:rPr>
      </w:pPr>
    </w:p>
    <w:p w14:paraId="3BB477BA" w14:textId="77777777" w:rsidR="00341F5E" w:rsidRDefault="00341F5E" w:rsidP="00341F5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Anote o seu nome no caderno de questões e gabarito;</w:t>
      </w:r>
    </w:p>
    <w:p w14:paraId="1561E2A7" w14:textId="77777777" w:rsidR="00341F5E" w:rsidRDefault="00341F5E" w:rsidP="00341F5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Assinar o gabarito é obrigatório, dessa forma caso não esteja assinado o candidato será desclassificado;</w:t>
      </w:r>
    </w:p>
    <w:p w14:paraId="6740F077" w14:textId="77777777" w:rsidR="00341F5E" w:rsidRDefault="00341F5E" w:rsidP="00341F5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caderno de questões não poderá ser levado para casa;</w:t>
      </w:r>
    </w:p>
    <w:p w14:paraId="4155F03A" w14:textId="77777777" w:rsidR="00341F5E" w:rsidRDefault="00341F5E" w:rsidP="00341F5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ler atentamente e assinalar as respostas, o candidato deverá transferi-las para o gabarito;</w:t>
      </w:r>
    </w:p>
    <w:p w14:paraId="18EDC999" w14:textId="77777777" w:rsidR="00341F5E" w:rsidRDefault="00341F5E" w:rsidP="00341F5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assinalar o gabarito utilize somente caneta preta ou azul;</w:t>
      </w:r>
    </w:p>
    <w:p w14:paraId="755BB4F7" w14:textId="77777777" w:rsidR="00341F5E" w:rsidRDefault="00341F5E" w:rsidP="00341F5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gabarito não poderá haver rasuras, correções, tão pouco duas alternativas assinaladas, pois isto implicará na anulação da questão;</w:t>
      </w:r>
    </w:p>
    <w:p w14:paraId="5A3A6562" w14:textId="77777777" w:rsidR="00341F5E" w:rsidRDefault="00341F5E" w:rsidP="00341F5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tempo de duração da prova será de 02 (duas) horas;</w:t>
      </w:r>
    </w:p>
    <w:p w14:paraId="0D5051F9" w14:textId="77777777" w:rsidR="00341F5E" w:rsidRDefault="00341F5E" w:rsidP="00341F5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ter assinado a lista de presença, não será permitido ao candidato ausentar-se do local da prova sem a presença do fiscal;</w:t>
      </w:r>
    </w:p>
    <w:p w14:paraId="5D656A1D" w14:textId="77777777" w:rsidR="00341F5E" w:rsidRDefault="00341F5E" w:rsidP="00341F5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candidatos somente poderão deixar a sala de provas 30(trinta) minutos após o início da mesma, e os 03 (três) últimos candidatos de cada sala de provas, somente poderão entregar a prova e retirar-se do local simultaneamente;</w:t>
      </w:r>
    </w:p>
    <w:p w14:paraId="16A4BE44" w14:textId="77777777" w:rsidR="00341F5E" w:rsidRDefault="00341F5E" w:rsidP="00341F5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prova é composta por 20 questões objetivas.</w:t>
      </w:r>
    </w:p>
    <w:p w14:paraId="4924077A" w14:textId="77777777" w:rsidR="00341F5E" w:rsidRDefault="00341F5E" w:rsidP="00341F5E">
      <w:pPr>
        <w:jc w:val="both"/>
        <w:rPr>
          <w:rFonts w:ascii="Arial" w:hAnsi="Arial" w:cs="Arial"/>
          <w:sz w:val="24"/>
          <w:szCs w:val="24"/>
        </w:rPr>
      </w:pPr>
    </w:p>
    <w:p w14:paraId="063FA5D2" w14:textId="77777777" w:rsidR="00341F5E" w:rsidRDefault="00341F5E" w:rsidP="00341F5E">
      <w:pPr>
        <w:jc w:val="both"/>
        <w:rPr>
          <w:rFonts w:ascii="Arial" w:hAnsi="Arial" w:cs="Arial"/>
          <w:sz w:val="24"/>
          <w:szCs w:val="24"/>
        </w:rPr>
      </w:pPr>
    </w:p>
    <w:p w14:paraId="4D31C321" w14:textId="77777777" w:rsidR="00341F5E" w:rsidRDefault="00341F5E" w:rsidP="00341F5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Nome do Candidato: __________________________________  </w:t>
      </w:r>
    </w:p>
    <w:p w14:paraId="0917B21E" w14:textId="77777777" w:rsidR="00341F5E" w:rsidRDefault="00341F5E" w:rsidP="00341F5E">
      <w:pPr>
        <w:jc w:val="both"/>
        <w:rPr>
          <w:rFonts w:ascii="Arial" w:hAnsi="Arial" w:cs="Arial"/>
          <w:sz w:val="24"/>
          <w:szCs w:val="24"/>
        </w:rPr>
      </w:pPr>
    </w:p>
    <w:p w14:paraId="512DA4A7" w14:textId="77777777" w:rsidR="00B90FCA" w:rsidRDefault="00B90FCA" w:rsidP="00341F5E">
      <w:pPr>
        <w:jc w:val="both"/>
        <w:rPr>
          <w:rFonts w:ascii="Arial" w:hAnsi="Arial" w:cs="Arial"/>
          <w:sz w:val="24"/>
          <w:szCs w:val="24"/>
        </w:rPr>
      </w:pPr>
    </w:p>
    <w:p w14:paraId="6387DFD3" w14:textId="77777777" w:rsidR="00B90FCA" w:rsidRDefault="00B90FCA" w:rsidP="00341F5E">
      <w:pPr>
        <w:jc w:val="both"/>
        <w:rPr>
          <w:rFonts w:ascii="Arial" w:hAnsi="Arial" w:cs="Arial"/>
          <w:sz w:val="24"/>
          <w:szCs w:val="24"/>
        </w:rPr>
      </w:pPr>
    </w:p>
    <w:p w14:paraId="6F0E6CE7" w14:textId="77777777" w:rsidR="00B90FCA" w:rsidRDefault="00B90FCA" w:rsidP="00341F5E">
      <w:pPr>
        <w:jc w:val="both"/>
        <w:rPr>
          <w:rFonts w:ascii="Arial" w:hAnsi="Arial" w:cs="Arial"/>
          <w:sz w:val="24"/>
          <w:szCs w:val="24"/>
        </w:rPr>
      </w:pPr>
    </w:p>
    <w:p w14:paraId="6D18D64D" w14:textId="77777777" w:rsidR="00341F5E" w:rsidRDefault="00341F5E" w:rsidP="00341F5E">
      <w:pPr>
        <w:jc w:val="both"/>
        <w:rPr>
          <w:rFonts w:ascii="Arial" w:hAnsi="Arial" w:cs="Arial"/>
          <w:sz w:val="24"/>
          <w:szCs w:val="24"/>
        </w:rPr>
      </w:pPr>
    </w:p>
    <w:p w14:paraId="35AF38EB" w14:textId="4512B8B1" w:rsidR="0066737A" w:rsidRPr="00FC12D6" w:rsidRDefault="0066737A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FC12D6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lastRenderedPageBreak/>
        <w:t xml:space="preserve">QUESTÃO </w:t>
      </w:r>
      <w:r w:rsidR="00FC12D6" w:rsidRPr="00FC12D6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>01</w:t>
      </w:r>
      <w:r w:rsidRPr="00FC12D6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</w:p>
    <w:p w14:paraId="66BA4848" w14:textId="77777777" w:rsidR="0066737A" w:rsidRDefault="006673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5FBB80E6" w14:textId="77777777" w:rsidR="0066737A" w:rsidRDefault="006673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6673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A substituição do aleitamento materno está contraindicada em algumas situações clínicas particulares. </w:t>
      </w:r>
    </w:p>
    <w:p w14:paraId="1B396EDE" w14:textId="77777777" w:rsid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19857BCE" w14:textId="77777777" w:rsidR="0066737A" w:rsidRPr="00FC12D6" w:rsidRDefault="0066737A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FC12D6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Assinale a alternativa na qual o lactente poderá manter a alimentação com o leite materno. </w:t>
      </w:r>
    </w:p>
    <w:p w14:paraId="4E54B34B" w14:textId="77777777" w:rsidR="0066737A" w:rsidRDefault="006673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6673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A) Galactosemia clássica. </w:t>
      </w:r>
    </w:p>
    <w:p w14:paraId="1A13387D" w14:textId="77777777" w:rsidR="0066737A" w:rsidRDefault="006673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6673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B) Diagnóstico materno de tuberculose. </w:t>
      </w:r>
    </w:p>
    <w:p w14:paraId="12FD9163" w14:textId="77777777" w:rsidR="0066737A" w:rsidRDefault="006673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6673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C) Uso materno de agentes antineoplásicos e imunossupressores. </w:t>
      </w:r>
    </w:p>
    <w:p w14:paraId="56C6FECB" w14:textId="77777777" w:rsidR="0066737A" w:rsidRDefault="006673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6673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D) Infeção materna pelo vírus herpes simples com lesões mamárias. </w:t>
      </w:r>
    </w:p>
    <w:p w14:paraId="74D9CB3F" w14:textId="77777777" w:rsidR="0066737A" w:rsidRDefault="006673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41FD00CB" w14:textId="7B35ACF7" w:rsidR="0066737A" w:rsidRPr="00FC12D6" w:rsidRDefault="0066737A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FC12D6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QUESTÃO </w:t>
      </w:r>
      <w:r w:rsidR="00FC12D6" w:rsidRPr="00FC12D6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>02</w:t>
      </w:r>
      <w:r w:rsidRPr="00FC12D6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</w:p>
    <w:p w14:paraId="011CE1E1" w14:textId="77777777" w:rsidR="0066737A" w:rsidRDefault="006673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7177E250" w14:textId="77777777" w:rsidR="0066737A" w:rsidRDefault="006673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6673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As recomendações da alimentação do lactente no primeiro ano de vida seguem diretrizes internacionais e nacionais levando em consideração as necessidades nutricionais da criança e as particularidades geográficas, sociais e culturais de cada população. </w:t>
      </w:r>
    </w:p>
    <w:p w14:paraId="2AA4DC77" w14:textId="77777777" w:rsid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5D2F7A6B" w14:textId="77777777" w:rsidR="0066737A" w:rsidRPr="00FC12D6" w:rsidRDefault="0066737A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FC12D6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Sobre as recomendações da alimentação no primeiro ano de vida, assinale a alternativa correta. </w:t>
      </w:r>
    </w:p>
    <w:p w14:paraId="55D5B832" w14:textId="77777777" w:rsid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7CE10C65" w14:textId="77777777" w:rsidR="0066737A" w:rsidRDefault="006673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6673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A) Apenas a vitamina D deve ser suplementada de forma rotineira, pois o leite materno é capaz de suprir as demais necessidades de vitaminas do lactente, independentemente da dieta materna. </w:t>
      </w:r>
    </w:p>
    <w:p w14:paraId="492FC6D3" w14:textId="77777777" w:rsidR="0066737A" w:rsidRDefault="006673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6673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B) Para prevenção da xeroftalmia e cegueira, é preconizada a manutenção do aleitamento materno, o consumo de vísceras, gemas de ovos, frutas e legumes amarelos e vegetais verde-escuros. </w:t>
      </w:r>
    </w:p>
    <w:p w14:paraId="07F33687" w14:textId="77777777" w:rsidR="0066737A" w:rsidRDefault="006673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6673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C) Na alimentação complementar, deve-se incluir alimentos do grupo das leguminosas, tais como: ervilha, lentilha, grão de bico e abóbora. </w:t>
      </w:r>
    </w:p>
    <w:p w14:paraId="731B9B02" w14:textId="77777777" w:rsidR="0066737A" w:rsidRDefault="006673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6673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D) O consumo de glúten deve ser evitado no primeiro ano de vida para prevenção da Doença Celíaca. </w:t>
      </w:r>
    </w:p>
    <w:p w14:paraId="4D15C5E7" w14:textId="77777777" w:rsidR="0066737A" w:rsidRDefault="006673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1BE55D47" w14:textId="5141432B" w:rsidR="0066737A" w:rsidRPr="00FC12D6" w:rsidRDefault="0066737A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FC12D6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QUESTÃO </w:t>
      </w:r>
      <w:r w:rsidR="00FC12D6" w:rsidRPr="00FC12D6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>03</w:t>
      </w:r>
      <w:r w:rsidRPr="00FC12D6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</w:p>
    <w:p w14:paraId="0CE0FEB6" w14:textId="77777777" w:rsidR="0066737A" w:rsidRDefault="006673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223C96D9" w14:textId="77777777" w:rsidR="0066737A" w:rsidRDefault="006673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6673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A ingestão de substâncias cáusticas por crianças é um problema de saúde-pública de países em desenvolvimento, refletindo a desinformação da população e a ausência de medidas políticas e econômicas que atuem na segurança infantil. </w:t>
      </w:r>
    </w:p>
    <w:p w14:paraId="2D3AE41D" w14:textId="77777777" w:rsid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3BBD717A" w14:textId="77777777" w:rsidR="0066737A" w:rsidRPr="00FC12D6" w:rsidRDefault="0066737A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FC12D6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Sobre os acidentes por ingestão de substâncias cáusticas na infância, assinale a alternativa correta. </w:t>
      </w:r>
    </w:p>
    <w:p w14:paraId="14DEFF00" w14:textId="77777777" w:rsid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27E6A614" w14:textId="77777777" w:rsidR="0066737A" w:rsidRDefault="006673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6673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A) Após o acidente, a ingestão de substâncias neutralizadoras não é recomendada. </w:t>
      </w:r>
    </w:p>
    <w:p w14:paraId="3B7384BF" w14:textId="77777777" w:rsidR="0066737A" w:rsidRDefault="006673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6673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B) As substâncias com poder cáustico são invariavelmente bases fortes com ph alcalino. </w:t>
      </w:r>
    </w:p>
    <w:p w14:paraId="138818A4" w14:textId="77777777" w:rsidR="0066737A" w:rsidRDefault="006673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6673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lastRenderedPageBreak/>
        <w:t xml:space="preserve">C) Na suspeita de ingestão de substância cáustica, a lavagem gástrica com carvão ativado deve ser realizada assim que possível. </w:t>
      </w:r>
    </w:p>
    <w:p w14:paraId="1D57382D" w14:textId="77777777" w:rsidR="00FC12D6" w:rsidRDefault="006673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6673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D) Os sintomas de disfagia e sialorreia ocorrem nas primeiras 48h, e, se ausentes, confirmam a integridade do esôfago. </w:t>
      </w:r>
    </w:p>
    <w:p w14:paraId="09AA5745" w14:textId="77777777" w:rsid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1DA851AF" w14:textId="7433FD28" w:rsidR="00FC12D6" w:rsidRPr="00FC12D6" w:rsidRDefault="0066737A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FC12D6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QUESTÃO </w:t>
      </w:r>
      <w:r w:rsidR="00FC12D6" w:rsidRPr="00FC12D6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>04</w:t>
      </w:r>
      <w:r w:rsidRPr="00FC12D6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</w:p>
    <w:p w14:paraId="3B63D5C0" w14:textId="77777777" w:rsid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6457B6DE" w14:textId="77777777" w:rsidR="00FC12D6" w:rsidRDefault="006673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6673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A infecção do trato urinário (ITU) é definida pela presença de germe patogênico único no sistema urinário associada a processo inflamatório sintomático. A importância do diagnóstico e tratamento oportuno está na possibilidade de evolução para cicatriz renal e urosepsis nos lactentes. </w:t>
      </w:r>
    </w:p>
    <w:p w14:paraId="2BB679A1" w14:textId="77777777" w:rsid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28903B36" w14:textId="55835DE8" w:rsidR="00FC12D6" w:rsidRPr="00FC12D6" w:rsidRDefault="0066737A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FC12D6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Sobre a ITU em lactentes, assinale a alternativa correta. </w:t>
      </w:r>
    </w:p>
    <w:p w14:paraId="64593C30" w14:textId="77777777" w:rsid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5BBF208E" w14:textId="77777777" w:rsidR="00FC12D6" w:rsidRDefault="006673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6673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A) A sensibilidade à percussão costovertebral é um sinal clínico frequentemente encontrado em lactentes. </w:t>
      </w:r>
    </w:p>
    <w:p w14:paraId="0F8E70EE" w14:textId="77777777" w:rsidR="00FC12D6" w:rsidRDefault="006673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6673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B) Os testes da esterase leucocitária e nitrito positivos têm moderada correlação com a urocultura postiva. </w:t>
      </w:r>
    </w:p>
    <w:p w14:paraId="1B0D8B3B" w14:textId="77777777" w:rsidR="00FC12D6" w:rsidRDefault="006673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6673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C) Em uroculturas por coleta suprapúbica, qualquer crescimento de enterobactérias é considerado significativo. </w:t>
      </w:r>
    </w:p>
    <w:p w14:paraId="621B1723" w14:textId="668F1B0C" w:rsidR="00B90FCA" w:rsidRDefault="006673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6673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D) ITUs são mais frequentes em meninos não circuncidados com mais de 3 meses de idade do que em meninas.</w:t>
      </w:r>
    </w:p>
    <w:p w14:paraId="217B2A5C" w14:textId="77777777" w:rsid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7181BB2D" w14:textId="64908ADC" w:rsidR="00FC12D6" w:rsidRP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FC12D6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>QUESTÃO 05</w:t>
      </w:r>
    </w:p>
    <w:p w14:paraId="48112721" w14:textId="77777777" w:rsid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03E52B7F" w14:textId="77777777" w:rsid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FC12D6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A dificuldade na investigação do diagnóstico etiológico das Pneumonias adquiridas na comunidade ressalta a importância do conhecimento dos agentes etiológicos mais frequentemente encontrados em cada faixa etária pediátrica. </w:t>
      </w:r>
    </w:p>
    <w:p w14:paraId="7EBC5A7B" w14:textId="77777777" w:rsid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6B7866A9" w14:textId="09C2517A" w:rsidR="00FC12D6" w:rsidRP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FC12D6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Assinale a alternativa que NÃO representa um dos principais agentes etiológicos de pneumonia comunitária em crianças acima de 5 anos. </w:t>
      </w:r>
    </w:p>
    <w:p w14:paraId="433E9235" w14:textId="77777777" w:rsid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06C221B6" w14:textId="77777777" w:rsid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FC12D6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A) Mycoplasma pneumoniae </w:t>
      </w:r>
    </w:p>
    <w:p w14:paraId="2600A70F" w14:textId="77777777" w:rsid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FC12D6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B) Mycobacterium tuberculosis </w:t>
      </w:r>
    </w:p>
    <w:p w14:paraId="14BCA33A" w14:textId="77777777" w:rsid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FC12D6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C) Streptococcus pneumoniae </w:t>
      </w:r>
    </w:p>
    <w:p w14:paraId="48D04B6C" w14:textId="77777777" w:rsid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FC12D6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D) Bordetella pertussis </w:t>
      </w:r>
    </w:p>
    <w:p w14:paraId="2AF5DCEC" w14:textId="77777777" w:rsid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56CC7001" w14:textId="512AEEE4" w:rsidR="00FC12D6" w:rsidRP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FC12D6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QUESTÃO </w:t>
      </w:r>
      <w:r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>06</w:t>
      </w:r>
    </w:p>
    <w:p w14:paraId="14672F04" w14:textId="77777777" w:rsid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744BC425" w14:textId="77777777" w:rsid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FC12D6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Os índices preditivos de asma são instrumentos que buscam predizer a origem alérgica da sibilância recorrente no lactente e a probabilidade de asma futura, através da associação de dados clínicos. </w:t>
      </w:r>
    </w:p>
    <w:p w14:paraId="2C8CB080" w14:textId="77777777" w:rsid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5D72E8E0" w14:textId="77777777" w:rsidR="00FC12D6" w:rsidRP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FC12D6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Assinale a alternativa que NÃO representa um dos sinais clínicos preditivos de asma futura para o lactente. </w:t>
      </w:r>
    </w:p>
    <w:p w14:paraId="3DB68CD0" w14:textId="77777777" w:rsid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2AE9BB70" w14:textId="77777777" w:rsid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FC12D6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A) Eosinofilia &gt; 4% </w:t>
      </w:r>
    </w:p>
    <w:p w14:paraId="204D1C2D" w14:textId="77777777" w:rsid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FC12D6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lastRenderedPageBreak/>
        <w:t xml:space="preserve">B) Sibilância não associada a infecções virais </w:t>
      </w:r>
    </w:p>
    <w:p w14:paraId="02649763" w14:textId="77777777" w:rsid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FC12D6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C) Dermatite atópica </w:t>
      </w:r>
    </w:p>
    <w:p w14:paraId="5A14DBC4" w14:textId="77777777" w:rsid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FC12D6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D) Etnia caucasiana </w:t>
      </w:r>
    </w:p>
    <w:p w14:paraId="4215693D" w14:textId="77777777" w:rsid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730A31A1" w14:textId="294692B6" w:rsidR="00FC12D6" w:rsidRP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FC12D6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QUESTÃO 07 </w:t>
      </w:r>
    </w:p>
    <w:p w14:paraId="5F9A9330" w14:textId="77777777" w:rsid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49F0DC6B" w14:textId="77777777" w:rsid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FC12D6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Em consulta de puericultura, a mãe de um lactente de 5 meses queixa-se de aumento do número e volume das regurgitações, períodos intermitentes de choro e sono agitado há aproximadamente 30 dias. Relata que há 2 meses associou fórmula infantil de partida à amamentação por considerar o leite materno insuficiente. No exame físico, observa-se ganho de peso adequado sem outras alterações clínicas. </w:t>
      </w:r>
    </w:p>
    <w:p w14:paraId="4205D5F0" w14:textId="77777777" w:rsid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493DB861" w14:textId="77777777" w:rsidR="00FC12D6" w:rsidRP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FC12D6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Diante da situação clínica, assinale a alternativa que melhor representa a conduta inicial a ser tomada. </w:t>
      </w:r>
    </w:p>
    <w:p w14:paraId="5BC8623D" w14:textId="77777777" w:rsid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61696443" w14:textId="77777777" w:rsid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FC12D6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A) Iniciar tratamento de prova diagnóstica com medicação bloqueadora de secreção ácida gástrica. </w:t>
      </w:r>
    </w:p>
    <w:p w14:paraId="3ED00E62" w14:textId="77777777" w:rsid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FC12D6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B) Realizar RX contrastado para investigação de alterações anatômicas do trato gastrointestinal. </w:t>
      </w:r>
    </w:p>
    <w:p w14:paraId="6814447F" w14:textId="77777777" w:rsid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FC12D6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C) Verificar o volume da dieta, corrigir eventual excesso e orientar a mãe. </w:t>
      </w:r>
    </w:p>
    <w:p w14:paraId="1EEDBF98" w14:textId="77777777" w:rsid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FC12D6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D) Realizar endoscopia digestiva alta com biópsias antes de iniciar qualquer tratamento. </w:t>
      </w:r>
    </w:p>
    <w:p w14:paraId="0BE8BAED" w14:textId="77777777" w:rsid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12FFB38C" w14:textId="27802AB3" w:rsidR="00FC12D6" w:rsidRP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FC12D6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QUESTÃO 08 </w:t>
      </w:r>
    </w:p>
    <w:p w14:paraId="340C01D0" w14:textId="77777777" w:rsid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516CD2BB" w14:textId="77777777" w:rsid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FC12D6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Os critérios de Roma representam uma inciativa internacional para a padronização diagnóstica dos distúrbios gastrointestinais funcionais, com base nas manifestações clínicas. A última versão publicada em 2016 é denominada Critérios de Roma IV. </w:t>
      </w:r>
    </w:p>
    <w:p w14:paraId="7CFD2995" w14:textId="77777777" w:rsid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553AD198" w14:textId="77777777" w:rsidR="00FC12D6" w:rsidRP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FC12D6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Segundo os Critérios de Roma IV, assinale a alternativa que NÃO se refere ao diagnóstico da Constipação intestinal na criança e no adolescente. </w:t>
      </w:r>
    </w:p>
    <w:p w14:paraId="06115642" w14:textId="77777777" w:rsid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044B122C" w14:textId="77777777" w:rsid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FC12D6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A) Pelo menos um episódio de incontinência fecal por semana. </w:t>
      </w:r>
    </w:p>
    <w:p w14:paraId="09A2E8D7" w14:textId="77777777" w:rsid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FC12D6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B) Dor abdominal em pelo menos 4 dias do mês associada à mudança no aspecto das evacuações. </w:t>
      </w:r>
    </w:p>
    <w:p w14:paraId="163B6DA3" w14:textId="77777777" w:rsid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FC12D6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C) Histórico de eliminação de fezes de grande calibre que podem entupir o vaso sanitário. </w:t>
      </w:r>
    </w:p>
    <w:p w14:paraId="22182661" w14:textId="77777777" w:rsid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FC12D6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D) Duas ou menos evacuações no vaso sanitário por semana. </w:t>
      </w:r>
    </w:p>
    <w:p w14:paraId="74E729E6" w14:textId="77777777" w:rsid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0D00AC5B" w14:textId="5E302A5C" w:rsidR="00FC12D6" w:rsidRP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FC12D6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QUESTÃO 09 </w:t>
      </w:r>
    </w:p>
    <w:p w14:paraId="639DD317" w14:textId="77777777" w:rsid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615FB2C8" w14:textId="77777777" w:rsidR="00043EFE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FC12D6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O diagnóstico da Dermatite atópica (DA) é essencialmente clínico. Os fatores epidemiológicos e a caracterização dos sinais e sintomas são essenciais na investigação. </w:t>
      </w:r>
    </w:p>
    <w:p w14:paraId="3F2D1160" w14:textId="77777777" w:rsidR="00043EFE" w:rsidRDefault="00043EFE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0DFB621F" w14:textId="77777777" w:rsidR="00043EFE" w:rsidRPr="00043EFE" w:rsidRDefault="00FC12D6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043EFE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lastRenderedPageBreak/>
        <w:t xml:space="preserve">Em relação ao diagnóstico da DA, assinale a alternativa correta. </w:t>
      </w:r>
    </w:p>
    <w:p w14:paraId="33FDC5CC" w14:textId="77777777" w:rsidR="00043EFE" w:rsidRDefault="00043EFE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12F44EAD" w14:textId="77777777" w:rsidR="00043EFE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FC12D6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A) A barreira cutânea disfuncional é geneticamente determinada e considerada um dos principais fatores etiológicos da doença. </w:t>
      </w:r>
    </w:p>
    <w:p w14:paraId="6211FED5" w14:textId="77777777" w:rsidR="00043EFE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FC12D6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B) A alergia à proteína do leite de vaca está fortemente relacionada à etiologia da DA. </w:t>
      </w:r>
    </w:p>
    <w:p w14:paraId="6DF1CA56" w14:textId="77777777" w:rsidR="00043EFE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FC12D6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C) Nas crianças pré-puberes (2-10 anos), as lesões localizam-se principalmente na face, poupando o triângulo nasolabial, e no couro cabeludo. </w:t>
      </w:r>
    </w:p>
    <w:p w14:paraId="6FAFF1F1" w14:textId="676A23F1" w:rsidR="00FC12D6" w:rsidRDefault="00FC12D6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FC12D6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D) Idade de início em geral, após o segundo ano de vida, é um dos critérios clínicos que auxilia no esclarecimento diagnóstico.</w:t>
      </w:r>
    </w:p>
    <w:p w14:paraId="538A96AE" w14:textId="77777777" w:rsidR="00043EFE" w:rsidRDefault="00043EFE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416280AF" w14:textId="71E20B8B" w:rsidR="004A227A" w:rsidRP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4A227A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>QUESTÃO 10</w:t>
      </w:r>
    </w:p>
    <w:p w14:paraId="515C392F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6340FD5E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4A22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A Obesidade na infância é um problema de saúde pública. Pode apresentar etiologia endógena ou exógena. A mudança dos hábitos alimentares e de vida com aumento do sedentarismo nas últimas décadas têm favorecido o excesso de peso, com prejuízos na qualidade de vida e aumento da morbimortalidade futura. </w:t>
      </w:r>
    </w:p>
    <w:p w14:paraId="23614440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17ACCAC2" w14:textId="77777777" w:rsidR="004A227A" w:rsidRP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4A227A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Assinale a alternativa que melhor representa fatores determinantes da Obesidade na infância. </w:t>
      </w:r>
    </w:p>
    <w:p w14:paraId="0A9C4AFD" w14:textId="77777777" w:rsidR="004A227A" w:rsidRP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6D754703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4A22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A) As crianças de 0 a 5 anos são consideradas em risco de sobrepeso quando os valores de índice de massa corporal (IMC) estão entre os escores Z +2 e +3. B) Um sinal de alerta para a ocorrência de obesidade secundária às doenças endócrinas é a presença de idade óssea avançada. </w:t>
      </w:r>
    </w:p>
    <w:p w14:paraId="6D6FD649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4A22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C) A acantose nigricans ocorre principalmente nas axilas e no pescoço, e é detectada nos casos de obesidade por hipoinsulinismo. </w:t>
      </w:r>
    </w:p>
    <w:p w14:paraId="23EF52EE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4A22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D) A Síndrome de Prader-Willi é uma das causas de obesidade endógena, com elevados níveis de grelina plasmática, peptídeo gástrico que regula a ingesta alimentar. </w:t>
      </w:r>
    </w:p>
    <w:p w14:paraId="413DCE9D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6A8CBDAF" w14:textId="28B041F0" w:rsidR="004A227A" w:rsidRP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4A227A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QUESTÃO 11 </w:t>
      </w:r>
    </w:p>
    <w:p w14:paraId="5949733F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643A0DF2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4A22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Ana Paula está no 4º dia de vida e apresenta dificuldade para a pega do seio materno. Está em acompanhamento no consultório de amamentação do Banco de Leite Humano e sua mãe, Mariana, refere mamas engurgitadas, doloridas e avermelhadas difusamente. Foram realizadas ordenha de alívio e orientação sobre o posicionamento no seio materno. </w:t>
      </w:r>
    </w:p>
    <w:p w14:paraId="09175DC9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1B3CE46A" w14:textId="77777777" w:rsidR="004A227A" w:rsidRP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4A227A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Considerando a fisiologia da lactação, Mariana encontra-se em qual fase? </w:t>
      </w:r>
    </w:p>
    <w:p w14:paraId="27C423FA" w14:textId="77777777" w:rsidR="004A227A" w:rsidRP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15551067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4A22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A) Lactogênese II que ocorre do 3o ao 5o dia pós-parto. É controlada por hormônios e independe da sucção do seio materno. </w:t>
      </w:r>
    </w:p>
    <w:p w14:paraId="73CA9197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4A22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B) Lactogênese I que ocorre ainda antes do nascimento relacionada aos hormônios placentários, estendendose até por volta de 5 dias pós-parto, independentemente da sucção do seio materno. </w:t>
      </w:r>
    </w:p>
    <w:p w14:paraId="65A676B7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4A22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lastRenderedPageBreak/>
        <w:t xml:space="preserve">C) Lactogênese III que ocorre a partir do nascimento e está relacionada à sucção do recém-nascido. </w:t>
      </w:r>
    </w:p>
    <w:p w14:paraId="32484B74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4A22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D) Lactogênese I ou galactopoese que ocorre a partir do 3º dia pós-parto e está relacionada a sucção do recém-nascido. </w:t>
      </w:r>
    </w:p>
    <w:p w14:paraId="3F1AB77D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7288E704" w14:textId="3CCBB06E" w:rsidR="004A227A" w:rsidRP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4A227A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QUESTÃO 12 </w:t>
      </w:r>
    </w:p>
    <w:p w14:paraId="4B1A46B2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6C083D8B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4A22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Um pediatra atende uma criança de 18 meses que apresenta preocupações em relação ao desenvolvimento social e de comunicação. Os pais relatam que a criança não responde ao chamado, evita o contato visual e não aponta para objetos. O pediatra decide utilizar o M-CHAT (Modified Checklist for Autism in Toddlers) para avaliar a possibilidade de um transtorno do espectro autista (TEA). </w:t>
      </w:r>
    </w:p>
    <w:p w14:paraId="6525BC76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0AAD74F8" w14:textId="77777777" w:rsidR="004A227A" w:rsidRP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4A227A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Qual das seguintes afirmações sobre a aplicação do M-CHAT e outras escalas na triagem do Transtorno do Espectro Autista em crianças é correta? </w:t>
      </w:r>
    </w:p>
    <w:p w14:paraId="600A4DE6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7A0AB64A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4A22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A) O M-CHAT é uma ferramenta de triagem para crianças de 12 a 24 meses, permitindo a identificação precoce de comportamentos indicativos de TEA. </w:t>
      </w:r>
    </w:p>
    <w:p w14:paraId="074149F0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4A22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B) O M-CHAT deve ser aplicado somente em crianças que apresentam atraso no desenvolvimento motor. </w:t>
      </w:r>
    </w:p>
    <w:p w14:paraId="117F3B33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4A22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C) O M-CHAT é uma ferramenta de triagem eficaz ainda que apresente elevada porcentagem de falsopositivos. </w:t>
      </w:r>
    </w:p>
    <w:p w14:paraId="28B5AEDD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4A22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D) As questões do M-CHAT devem ser respondidas pelos pais ou cuidadores em uma consulta específica para esse fim e, em seguida, avaliadas pelo neurologista infantil. </w:t>
      </w:r>
    </w:p>
    <w:p w14:paraId="3343C641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4C2DB256" w14:textId="7F552D2C" w:rsidR="004A227A" w:rsidRP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4A227A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QUESTÃO 13 </w:t>
      </w:r>
    </w:p>
    <w:p w14:paraId="1E9D2F7F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5139B254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4A22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João Paulo, residente na cidade de Uberlândia, hígido, comparece à consulta pediátrica, de rotina, com 11 anos de idade, e sua mãe refere que ele recebeu todas as vacinas nas datas preconizadas, sem atrasos, até a idade de 4 anos. Desde então não recebeu mais qualquer vacina. Na verificação do cartão de vacinas, comprovam-se as informações da mãe. </w:t>
      </w:r>
    </w:p>
    <w:p w14:paraId="66A926FD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5C9436F8" w14:textId="77777777" w:rsidR="004A227A" w:rsidRP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4A227A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De acordo com o Programa Nacional de Imunizações quais são as vacinas que João Paulo deverá receber? </w:t>
      </w:r>
    </w:p>
    <w:p w14:paraId="53BBC071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7AFD0E74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4A22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A) 1 dose de Meningocócica ACWY, reforço de Difteria e Tétano (dT) e dose única de HPV4. </w:t>
      </w:r>
    </w:p>
    <w:p w14:paraId="4F33E871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4A22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B) 1 dose de Meningocócica ACWY, reforço de Febre Amarela e dose única de HPV4. </w:t>
      </w:r>
    </w:p>
    <w:p w14:paraId="79020049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4A22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C) 2ª dose de Pneumocócica 23-valente, reforço de Febre Amarela, 1ª dose de Covid e 1ª dose de HPV4. </w:t>
      </w:r>
    </w:p>
    <w:p w14:paraId="14F100BD" w14:textId="1569056E" w:rsidR="00043EFE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4A22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D) 2ª dose de Pneumocócica 23-valente, 1ª dose de Covid, reforço de Difteria e Tétano (dT) e dose única de HPV4.</w:t>
      </w:r>
    </w:p>
    <w:p w14:paraId="1DDEAB64" w14:textId="46E59201" w:rsidR="004A227A" w:rsidRP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4A227A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lastRenderedPageBreak/>
        <w:t xml:space="preserve">QUESTÃO 14 </w:t>
      </w:r>
    </w:p>
    <w:p w14:paraId="7DA9421B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5793F385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4A22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Um pediatra atende no Pronto Atendimento uma criança de 3 anos que apresenta episódios de diarreia há 48 horas com intensificação nas últimas 24 horas. A mãe relata perda de apetite e 2 episódios de vômitos após a ingestão de líquidos e alimentos nas últimas 24 horas. No exame físico, a criança encontra-se ativa e reativa, irritada ao manuseio e com a saliva espessa. </w:t>
      </w:r>
    </w:p>
    <w:p w14:paraId="1FD190F8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0ABEF3FA" w14:textId="77777777" w:rsidR="004A227A" w:rsidRP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4A227A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>Qual é a abordagem mais apropriada para o plano de hidratação dessa criança?</w:t>
      </w:r>
    </w:p>
    <w:p w14:paraId="231836D9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691B01D8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4A22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A) Iniciar o tratamento com o Plano A, na Unidade de Saúde, com soro de reidratação oral pelos sinais de desidratação. </w:t>
      </w:r>
    </w:p>
    <w:p w14:paraId="6719FA1C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4A22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B) Iniciar o tratamento com o Plano C, administrando soroterapia de reidratação por via intravenosa devido aos episódios de vômitos e sinais de desidratação. </w:t>
      </w:r>
    </w:p>
    <w:p w14:paraId="20C9D612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4A22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C) Iniciar o tratamento com o Plano B, na Unidade de Saúde, sob a supervisão do profissional de saúde com soro de reidratação oral pelos sinais de desidratação leves. </w:t>
      </w:r>
    </w:p>
    <w:p w14:paraId="28DB0A1A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4A22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D) Iniciar o tratamento com o plano C até a melhora dos sinais de desidratação, e, em seguida, passar para o plano B que pode ser feito no domicílio. </w:t>
      </w:r>
    </w:p>
    <w:p w14:paraId="2C9382D0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67A32416" w14:textId="16FB6DC6" w:rsidR="004A227A" w:rsidRP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4A227A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QUESTÃO </w:t>
      </w:r>
      <w:r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>15</w:t>
      </w:r>
      <w:r w:rsidRPr="004A227A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</w:p>
    <w:p w14:paraId="07E1F09E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6A1E4B5C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4A22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Uma criança de 4 meses é trazida à emergência com febre alta (39,5°C), irritabilidade intensa e recusa alimentar. A mãe relata ainda que a criança apresentou episódios de vômitos nas últimas 24 horas. No exame físico, apresenta-se em regular estado geral, irritada e com a fontanela anterior levemente abaulada. </w:t>
      </w:r>
    </w:p>
    <w:p w14:paraId="0D2C40DD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08D66E68" w14:textId="77777777" w:rsidR="004A227A" w:rsidRP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4A227A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Qual é a abordagem mais apropriada para o tratamento dessa criança? </w:t>
      </w:r>
    </w:p>
    <w:p w14:paraId="78CB5863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3446A85F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4A22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A) Solicitar exames de sangue e iniciar antibioticoterapia empírica com Cefotaxima e Ampicilina considerando como principais agentes Streptococcus agalactiae, E. coli e N. meningitidis. Realizar punção lombar se hemocultura positiva. </w:t>
      </w:r>
    </w:p>
    <w:p w14:paraId="0497ECD0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4A22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B) Iniciar tratamento com antitérmicos, coletar culturas de sangue, urina e líquor e reavaliar em 24 horas pela maior possibilidade de etiologia viral. </w:t>
      </w:r>
    </w:p>
    <w:p w14:paraId="5748ED09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4A22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C) Realizar uma tomografia computadorizada (TC) do crânio antes de qualquer procedimento diagnóstico para descartar outras condições neurológicas. Se tomografia normal, coletar culturas de sangue, urina e líquor e iniciar tratamento empírico com Ceftriaxone e Oxacilina, considerando como principais agentes S. pneumoniae e H. influenzae. </w:t>
      </w:r>
    </w:p>
    <w:p w14:paraId="3CECC102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4A22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D) Coletar hemocultura, realizar a punção lombar imediatamente para análise do líquido cefalorraquidiano (LCR) e iniciar tratamento empírico com Ceftriaxone e Vancomicina considerando como principais agentes S. pneumoniae, N. meningitidis, H. influenzae. </w:t>
      </w:r>
    </w:p>
    <w:p w14:paraId="01ABC654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0C28A0C6" w14:textId="5B40D32E" w:rsidR="004A227A" w:rsidRP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4A227A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lastRenderedPageBreak/>
        <w:t xml:space="preserve">QUESTÃO 16 </w:t>
      </w:r>
    </w:p>
    <w:p w14:paraId="2F9A73B1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05441C52" w14:textId="3CD6516F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4A22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Amanda nasceu a termo, em boas condições e peso adequado para a idade gestacional. Foi encaminhada ao alojamento conjunto onde evoluiu com icterícia zona II com 27 horas de vida. Apresentou dificuldade de pega</w:t>
      </w:r>
      <w:r w:rsidR="0063419D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r</w:t>
      </w:r>
      <w:r w:rsidRPr="004A22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="0063419D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n</w:t>
      </w:r>
      <w:r w:rsidRPr="004A22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o seio materno e com 48 horas de vida apresentou perda de 7% do peso de nascimento. No exame físico, identificou-se icterícia zona IV. Amanda é do grupo sanguíneo A Rh positivo e sua mãe do grupo sanguíneo O Rh negativo; Coombs direto negativo. </w:t>
      </w:r>
    </w:p>
    <w:p w14:paraId="7A9C47D1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2B2E9B7B" w14:textId="77777777" w:rsidR="004A227A" w:rsidRP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4A227A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O diagnóstico provável da icterícia de Amanda é </w:t>
      </w:r>
    </w:p>
    <w:p w14:paraId="0BD94806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642C3497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4A22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A) Icterícia por doença hemolítica ABO. </w:t>
      </w:r>
    </w:p>
    <w:p w14:paraId="50B57F08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4A22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B) Icterícia fisiológica. </w:t>
      </w:r>
    </w:p>
    <w:p w14:paraId="26AAFD64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4A22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C) Icterícia por incompatibilidade Rh. </w:t>
      </w:r>
    </w:p>
    <w:p w14:paraId="48855410" w14:textId="5DD74626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4A22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D) Icterícia do aleitamento materno.</w:t>
      </w:r>
    </w:p>
    <w:p w14:paraId="40FE8C59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4E1A84CD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2DFB80C9" w14:textId="62956D67" w:rsidR="004A227A" w:rsidRPr="009A1A2D" w:rsidRDefault="004A227A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9A1A2D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QUESTÃO </w:t>
      </w:r>
      <w:r w:rsidR="009A1A2D" w:rsidRPr="009A1A2D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>17</w:t>
      </w:r>
      <w:r w:rsidRPr="009A1A2D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</w:p>
    <w:p w14:paraId="1E4D12BD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33506AD9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4A22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Recém-nascido nasceu de parto normal com idade gestacional de 35 semanas, rotura de membranas no ato e líquido amniótico meconeado. Nasceu em regulares condições com necessidade de 2 ciclos de ventilação com pressão positiva na sala de parto com melhora. Apgar 5 e 8, no 1º e 5º minutos, respectivamente. Evoluiu com desconforto respiratório precoce caracterizado por retrações subcostais e tiragens intercostais discretas, aletas ampliadas e gemido audível com estetoscópio (Boletim de Silverman Andersen = 4). Apresentou necessidade de O2 suplementar sob cateter nasal a 1 litro/ minuto para manter SatO2 92% com 10 minutos de vida. O Rx de tórax realizado com 4h de vida, devido persistência do desconforto respiratório mostrou hiperinsuflação pulmonar e infiltrado perihilar. </w:t>
      </w:r>
    </w:p>
    <w:p w14:paraId="7232183A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35294CC0" w14:textId="77777777" w:rsidR="004A227A" w:rsidRPr="009A1A2D" w:rsidRDefault="004A227A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9A1A2D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O diagnóstico mais provável do desconforto respiratório e o mecanismo fisiopatológico são, respectivamente, </w:t>
      </w:r>
    </w:p>
    <w:p w14:paraId="12FADD56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3C0CC9A3" w14:textId="77777777" w:rsidR="009A1A2D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4A22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A) Síndrome de aspiração de mecônio e obstrução de vias aéreas pequenas e médias. </w:t>
      </w:r>
    </w:p>
    <w:p w14:paraId="0BDABA8C" w14:textId="77777777" w:rsidR="009A1A2D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4A22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B) Síndrome do desconforto respiratório e deficiência de surfactante pulmonar pela prematuridade. </w:t>
      </w:r>
    </w:p>
    <w:p w14:paraId="08A7B8DB" w14:textId="77777777" w:rsidR="009A1A2D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4A22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C) Taquipneia transitória do recém-nascido e retardo na reabsorção do líquido pulmonar. </w:t>
      </w:r>
    </w:p>
    <w:p w14:paraId="2102A948" w14:textId="77777777" w:rsidR="009A1A2D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4A22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D) Hipertensão Pulmonar Persistente Neonatal e hipoxemia persistente que impede a queda da pressão na artéria pulmonar. </w:t>
      </w:r>
    </w:p>
    <w:p w14:paraId="6C306351" w14:textId="77777777" w:rsidR="009A1A2D" w:rsidRDefault="009A1A2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5BAE2461" w14:textId="77777777" w:rsidR="009A1A2D" w:rsidRDefault="009A1A2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6E3C5DD7" w14:textId="77777777" w:rsidR="009A1A2D" w:rsidRDefault="009A1A2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2DBF553E" w14:textId="77777777" w:rsidR="009A1A2D" w:rsidRDefault="009A1A2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354B72B8" w14:textId="77777777" w:rsidR="009A1A2D" w:rsidRDefault="009A1A2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136CDBEE" w14:textId="4637F06B" w:rsidR="009A1A2D" w:rsidRPr="009A1A2D" w:rsidRDefault="004A227A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9A1A2D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QUESTÃO </w:t>
      </w:r>
      <w:r w:rsidR="009A1A2D" w:rsidRPr="009A1A2D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>18</w:t>
      </w:r>
      <w:r w:rsidRPr="009A1A2D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</w:p>
    <w:p w14:paraId="2C4769E8" w14:textId="77777777" w:rsidR="009A1A2D" w:rsidRDefault="009A1A2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3E222CB6" w14:textId="77777777" w:rsidR="009A1A2D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4A22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Uma criança de 5 anos é atendida no pronto socorro de pediatria com história de dispnéia leve nas últimas 24 horas, principalmente aos esforços, acompanhada de palidez cutânea e hiporexia. No exame físico, apresenta FC: 160 bpm, palidez cutânea, edema palpebral bilateral, estertores à ausculta pulmonar e fígado palpável a 2 cm do rebordo costal direito. Rx de tórax com cardiomegalia e congestão pulmonar. </w:t>
      </w:r>
    </w:p>
    <w:p w14:paraId="41B2BA14" w14:textId="77777777" w:rsidR="009A1A2D" w:rsidRDefault="009A1A2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162AD974" w14:textId="77777777" w:rsidR="009A1A2D" w:rsidRPr="009A1A2D" w:rsidRDefault="004A227A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9A1A2D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Considerando o quadro clínico acima compatível com insuficiência cardíaca, assinale a alternativa correta. </w:t>
      </w:r>
    </w:p>
    <w:p w14:paraId="5D544935" w14:textId="77777777" w:rsidR="009A1A2D" w:rsidRDefault="009A1A2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0323E437" w14:textId="77777777" w:rsidR="009A1A2D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4A22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A) A insuficiência cardíaca é causada, na maior parte das vezes, por cardiopatias adquiridas como miocardiopatias e valvopatias adquiridas. </w:t>
      </w:r>
    </w:p>
    <w:p w14:paraId="21F054F0" w14:textId="77777777" w:rsidR="009A1A2D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4A22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B) A insuficiência cardíaca pode ser classificada como classe funcional em Classe IV devido à congestão pulmonar, dispneia e taquicardia. </w:t>
      </w:r>
    </w:p>
    <w:p w14:paraId="7569DA0E" w14:textId="77777777" w:rsidR="009A1A2D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4A22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C) A taquidispnéia ocorre devido ao aumento do volume sanguíneo no ventrículo e átrio esquerdos que determinam aumento da pressão diastólica final ventricular e da pressão venocapilar pulmonar; consequentemente, edema pulmonar com comprometimento das trocas gasosas e diminuição da complacência pulmonar. D) Os betabloqueadores como Carvedilol e Metoprolol são medicamentos bem estabelecidos e primeira linha de escolha para o tratamento extra-hospitalar por estarem associados à redução dos sintomas e aumento da sobrevida em crianças. </w:t>
      </w:r>
    </w:p>
    <w:p w14:paraId="2891D0A1" w14:textId="77777777" w:rsidR="009A1A2D" w:rsidRDefault="009A1A2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245799B5" w14:textId="57DFE956" w:rsidR="009A1A2D" w:rsidRPr="009A1A2D" w:rsidRDefault="004A227A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9A1A2D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QUESTÃO </w:t>
      </w:r>
      <w:r w:rsidR="009A1A2D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>19</w:t>
      </w:r>
      <w:r w:rsidRPr="009A1A2D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</w:p>
    <w:p w14:paraId="42AEB6A6" w14:textId="77777777" w:rsidR="009A1A2D" w:rsidRDefault="009A1A2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6BC0407C" w14:textId="77777777" w:rsidR="009A1A2D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4A22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João, 7 anos, procurou o pronto atendimento com história de febre alta há três dias, acompanhada de cefaléia, dor retro-orbitária e mialgia intensa. Hoje, iniciou com exantema máculo-papular na face e tronco. A avaliação laboratorial revelou hemograma com 4.200 leucócitos/mm³ e plaquetas de 95.000/mm³. </w:t>
      </w:r>
    </w:p>
    <w:p w14:paraId="6F024871" w14:textId="77777777" w:rsidR="009A1A2D" w:rsidRDefault="009A1A2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75B39252" w14:textId="77777777" w:rsidR="009A1A2D" w:rsidRPr="009A1A2D" w:rsidRDefault="004A227A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9A1A2D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Considerando o diagnóstico diferencial das arboviroses, assinale a alternativa correta. </w:t>
      </w:r>
    </w:p>
    <w:p w14:paraId="1E732F6F" w14:textId="77777777" w:rsidR="009A1A2D" w:rsidRDefault="009A1A2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561DC968" w14:textId="77777777" w:rsidR="009A1A2D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4A22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A) A dengue, em geral, apresenta-se com febre alta, mialgia e cefaléia. O exantema aparece do 3º ao 6º dia e a conjuntivite é rara. </w:t>
      </w:r>
    </w:p>
    <w:p w14:paraId="52602DEF" w14:textId="43EF806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4A227A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B) A Zica, em geral, apresenta-se com febre alta, mialgia, artralgia e linfoadenomegalia. O exantema aparece do 3º ao 6º dia e a conjuntivite é rara. C) A Chikungunya, em geral, apresenta-se com febre baixa e artralgia intensa.O exantema aparece do 1º ao 2º dia e a conjuntivite ocorre em 50-90% dos casos. D) A linfopenia é bastante comum nas 3 arboviroses, a leucopenia é mais frequente na Zica e a plaquetopenia na dengue.</w:t>
      </w:r>
    </w:p>
    <w:p w14:paraId="3CA3D749" w14:textId="77777777" w:rsidR="009A1A2D" w:rsidRDefault="009A1A2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775BBD9B" w14:textId="77777777" w:rsidR="009A1A2D" w:rsidRDefault="009A1A2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3F981F7A" w14:textId="77777777" w:rsidR="009A1A2D" w:rsidRDefault="009A1A2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2649074F" w14:textId="6C6044ED" w:rsidR="009A1A2D" w:rsidRPr="009A1A2D" w:rsidRDefault="009A1A2D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9A1A2D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lastRenderedPageBreak/>
        <w:t xml:space="preserve">QUESTÃO 20 </w:t>
      </w:r>
    </w:p>
    <w:p w14:paraId="4E1181F2" w14:textId="77777777" w:rsidR="009A1A2D" w:rsidRDefault="009A1A2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4C3C6CEC" w14:textId="77777777" w:rsidR="009A1A2D" w:rsidRDefault="009A1A2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9A1A2D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Um recém-nascido (RN) nasceu de parto normal com idade gestacional de 35 semanas, rotura de membranas no ato e líquido amniótico claro. Ao nascimento, foi observado RN com respiração irregular, hipotonia e cianose central. Após estímulo tátil do dorso, realizado clampeamento do cordão umbilical, levado ao berço aquecido, secado, retirados campos úmidos, colocado touca e posicionado com leve extensão do pescoço. Nesse momento, o RN apresentou choro vigoroso e melhora do tônus. No entanto, foi observada secreção em vias aéreas e foram realizadas aspiração de boca e narinas. FC = 140 bpm e respiração regular (choro). Retornado para contato pele a pele com a mãe por, aproximadamente, 5 minutos e mantido até, aproximadamente, 1 hora de vida.</w:t>
      </w:r>
    </w:p>
    <w:p w14:paraId="30D22AFF" w14:textId="77777777" w:rsidR="009A1A2D" w:rsidRDefault="009A1A2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62116685" w14:textId="77777777" w:rsidR="009A1A2D" w:rsidRPr="009A1A2D" w:rsidRDefault="009A1A2D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  <w:r w:rsidRPr="009A1A2D"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  <w:t xml:space="preserve"> Sobre a assistência na sala de parto, assinale a alternativa correta. </w:t>
      </w:r>
    </w:p>
    <w:p w14:paraId="497C81D8" w14:textId="77777777" w:rsidR="009A1A2D" w:rsidRDefault="009A1A2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0EA61FEF" w14:textId="77777777" w:rsidR="009A1A2D" w:rsidRDefault="009A1A2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9A1A2D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A) Pela prematuridade, o RN deveria ter sido colocado em saco plástico para evitar a perda de calor. </w:t>
      </w:r>
    </w:p>
    <w:p w14:paraId="76793CF1" w14:textId="77777777" w:rsidR="009A1A2D" w:rsidRDefault="009A1A2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9A1A2D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B) O clampeamento deveria ter sido feito após pelo menos 30 segundos, pois o RN estava respirando e a cor não deve ser utilizada como parâmetro de vitalidade ao nascimento. </w:t>
      </w:r>
    </w:p>
    <w:p w14:paraId="1066C751" w14:textId="77777777" w:rsidR="009A1A2D" w:rsidRDefault="009A1A2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9A1A2D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 xml:space="preserve">C) RN deveria ter permanecido no berço aquecido e monitorizado com oxímetro de pulso por pelo menos 1 hora, após o nascimento, pela prematuridade. </w:t>
      </w:r>
    </w:p>
    <w:p w14:paraId="7120DA51" w14:textId="51F9183C" w:rsidR="009A1A2D" w:rsidRDefault="009A1A2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  <w:r w:rsidRPr="009A1A2D"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  <w:t>D) Não era necessária a aspiração de vias aéreas, pois o RN não tinha evidências de obstrução de vias aéreas.</w:t>
      </w:r>
    </w:p>
    <w:p w14:paraId="65B4CFFF" w14:textId="77777777" w:rsidR="009A1A2D" w:rsidRDefault="009A1A2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40DA7B0D" w14:textId="77777777" w:rsidR="004A227A" w:rsidRDefault="004A227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14701B47" w14:textId="77777777" w:rsidR="009A1A2D" w:rsidRDefault="009A1A2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60500124" w14:textId="77777777" w:rsidR="009A1A2D" w:rsidRDefault="009A1A2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14DA34D0" w14:textId="77777777" w:rsidR="009A1A2D" w:rsidRDefault="009A1A2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428F9421" w14:textId="77777777" w:rsidR="009A1A2D" w:rsidRDefault="009A1A2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4517BA6D" w14:textId="77777777" w:rsidR="009A1A2D" w:rsidRDefault="009A1A2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5570A2AB" w14:textId="77777777" w:rsidR="009A1A2D" w:rsidRDefault="009A1A2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4805A33B" w14:textId="77777777" w:rsidR="009A1A2D" w:rsidRDefault="009A1A2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7CB21AB8" w14:textId="77777777" w:rsidR="009A1A2D" w:rsidRDefault="009A1A2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49A0AF5D" w14:textId="77777777" w:rsidR="009A1A2D" w:rsidRDefault="009A1A2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71487E51" w14:textId="77777777" w:rsidR="009A1A2D" w:rsidRDefault="009A1A2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2669C2D2" w14:textId="77777777" w:rsidR="009A1A2D" w:rsidRDefault="009A1A2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0919857C" w14:textId="77777777" w:rsidR="009A1A2D" w:rsidRDefault="009A1A2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5062E71F" w14:textId="77777777" w:rsidR="009A1A2D" w:rsidRDefault="009A1A2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031C68C5" w14:textId="77777777" w:rsidR="009A1A2D" w:rsidRDefault="009A1A2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3FDF9572" w14:textId="77777777" w:rsidR="009A1A2D" w:rsidRDefault="009A1A2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4A564FC4" w14:textId="77777777" w:rsidR="009A1A2D" w:rsidRDefault="009A1A2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4587ACF1" w14:textId="77777777" w:rsidR="009A1A2D" w:rsidRDefault="009A1A2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58677A19" w14:textId="77777777" w:rsidR="009A1A2D" w:rsidRDefault="009A1A2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3ECCD231" w14:textId="77777777" w:rsidR="009A1A2D" w:rsidRDefault="009A1A2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2681DE65" w14:textId="77777777" w:rsidR="009A1A2D" w:rsidRPr="0066737A" w:rsidRDefault="009A1A2D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532861DE" w14:textId="77777777" w:rsidR="00B90FCA" w:rsidRPr="0066737A" w:rsidRDefault="00B90FCA" w:rsidP="00907AED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6CE2C46C" w14:textId="77777777" w:rsidR="00B90FCA" w:rsidRDefault="00B90FCA" w:rsidP="00B90FCA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529651E7" w14:textId="77777777" w:rsidR="00B90FCA" w:rsidRPr="00F82FA3" w:rsidRDefault="00B90FCA" w:rsidP="00B90FCA">
      <w:pPr>
        <w:shd w:val="clear" w:color="auto" w:fill="D9D9D9" w:themeFill="background1" w:themeFillShade="D9"/>
        <w:spacing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:lang w:eastAsia="pt-BR"/>
          <w14:ligatures w14:val="none"/>
        </w:rPr>
      </w:pPr>
      <w:r w:rsidRPr="00F82FA3">
        <w:rPr>
          <w:rFonts w:eastAsia="Calibri" w:cstheme="minorHAnsi"/>
          <w:b/>
          <w:bCs/>
          <w:kern w:val="0"/>
          <w:sz w:val="28"/>
          <w:szCs w:val="28"/>
          <w:lang w:eastAsia="pt-BR"/>
          <w14:ligatures w14:val="none"/>
        </w:rPr>
        <w:t>RESPOSTAS ASSINALADAS</w:t>
      </w:r>
    </w:p>
    <w:p w14:paraId="6BD0EFB2" w14:textId="77777777" w:rsidR="00B90FCA" w:rsidRPr="00F82FA3" w:rsidRDefault="00B90FCA" w:rsidP="00B90FCA">
      <w:pPr>
        <w:shd w:val="clear" w:color="auto" w:fill="D9D9D9" w:themeFill="background1" w:themeFillShade="D9"/>
        <w:spacing w:after="0" w:line="240" w:lineRule="auto"/>
        <w:jc w:val="center"/>
        <w:rPr>
          <w:rFonts w:eastAsia="Calibri" w:cstheme="minorHAnsi"/>
          <w:kern w:val="0"/>
          <w:lang w:eastAsia="pt-BR"/>
          <w14:ligatures w14:val="none"/>
        </w:rPr>
      </w:pPr>
    </w:p>
    <w:p w14:paraId="49886544" w14:textId="77777777" w:rsidR="00B90FCA" w:rsidRPr="00F82FA3" w:rsidRDefault="00B90FCA" w:rsidP="00B90FCA">
      <w:pPr>
        <w:spacing w:after="0" w:line="240" w:lineRule="auto"/>
        <w:rPr>
          <w:rFonts w:eastAsia="Calibri" w:cstheme="minorHAnsi"/>
          <w:kern w:val="0"/>
          <w:lang w:eastAsia="pt-BR"/>
          <w14:ligatures w14:val="none"/>
        </w:rPr>
      </w:pPr>
    </w:p>
    <w:p w14:paraId="10A1C73C" w14:textId="77777777" w:rsidR="00B90FCA" w:rsidRPr="00F82FA3" w:rsidRDefault="00B90FCA" w:rsidP="00B90FCA">
      <w:pPr>
        <w:spacing w:after="0" w:line="240" w:lineRule="auto"/>
        <w:rPr>
          <w:rFonts w:eastAsia="Calibri" w:cstheme="minorHAnsi"/>
          <w:kern w:val="0"/>
          <w:lang w:eastAsia="pt-BR"/>
          <w14:ligatures w14:val="non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</w:tblGrid>
      <w:tr w:rsidR="00B90FCA" w:rsidRPr="00F82FA3" w14:paraId="2BB81CF0" w14:textId="77777777" w:rsidTr="00874122">
        <w:trPr>
          <w:jc w:val="center"/>
        </w:trPr>
        <w:tc>
          <w:tcPr>
            <w:tcW w:w="562" w:type="dxa"/>
          </w:tcPr>
          <w:p w14:paraId="296500FF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22E3F2F5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02</w:t>
            </w:r>
          </w:p>
        </w:tc>
        <w:tc>
          <w:tcPr>
            <w:tcW w:w="567" w:type="dxa"/>
          </w:tcPr>
          <w:p w14:paraId="1DEC5CF3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03</w:t>
            </w:r>
          </w:p>
        </w:tc>
        <w:tc>
          <w:tcPr>
            <w:tcW w:w="567" w:type="dxa"/>
          </w:tcPr>
          <w:p w14:paraId="0FB695BF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04</w:t>
            </w:r>
          </w:p>
        </w:tc>
        <w:tc>
          <w:tcPr>
            <w:tcW w:w="567" w:type="dxa"/>
          </w:tcPr>
          <w:p w14:paraId="6A9B6E17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05</w:t>
            </w:r>
          </w:p>
        </w:tc>
        <w:tc>
          <w:tcPr>
            <w:tcW w:w="567" w:type="dxa"/>
          </w:tcPr>
          <w:p w14:paraId="67DB60EA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06</w:t>
            </w:r>
          </w:p>
        </w:tc>
        <w:tc>
          <w:tcPr>
            <w:tcW w:w="567" w:type="dxa"/>
          </w:tcPr>
          <w:p w14:paraId="6621D4CF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07</w:t>
            </w:r>
          </w:p>
        </w:tc>
        <w:tc>
          <w:tcPr>
            <w:tcW w:w="567" w:type="dxa"/>
          </w:tcPr>
          <w:p w14:paraId="3AEE074E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08</w:t>
            </w:r>
          </w:p>
        </w:tc>
        <w:tc>
          <w:tcPr>
            <w:tcW w:w="567" w:type="dxa"/>
          </w:tcPr>
          <w:p w14:paraId="589B09B6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09</w:t>
            </w:r>
          </w:p>
        </w:tc>
        <w:tc>
          <w:tcPr>
            <w:tcW w:w="567" w:type="dxa"/>
          </w:tcPr>
          <w:p w14:paraId="4ED064CE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10</w:t>
            </w:r>
          </w:p>
        </w:tc>
      </w:tr>
      <w:tr w:rsidR="00B90FCA" w:rsidRPr="00F82FA3" w14:paraId="6F54DD33" w14:textId="77777777" w:rsidTr="00874122">
        <w:trPr>
          <w:jc w:val="center"/>
        </w:trPr>
        <w:tc>
          <w:tcPr>
            <w:tcW w:w="562" w:type="dxa"/>
          </w:tcPr>
          <w:p w14:paraId="513ADE74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</w:p>
        </w:tc>
        <w:tc>
          <w:tcPr>
            <w:tcW w:w="567" w:type="dxa"/>
          </w:tcPr>
          <w:p w14:paraId="5A74FBFA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</w:p>
        </w:tc>
        <w:tc>
          <w:tcPr>
            <w:tcW w:w="567" w:type="dxa"/>
          </w:tcPr>
          <w:p w14:paraId="54F39EFA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</w:p>
        </w:tc>
        <w:tc>
          <w:tcPr>
            <w:tcW w:w="567" w:type="dxa"/>
          </w:tcPr>
          <w:p w14:paraId="2126D203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</w:p>
        </w:tc>
        <w:tc>
          <w:tcPr>
            <w:tcW w:w="567" w:type="dxa"/>
          </w:tcPr>
          <w:p w14:paraId="695373DC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</w:p>
        </w:tc>
        <w:tc>
          <w:tcPr>
            <w:tcW w:w="567" w:type="dxa"/>
          </w:tcPr>
          <w:p w14:paraId="4190B6A8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</w:p>
        </w:tc>
        <w:tc>
          <w:tcPr>
            <w:tcW w:w="567" w:type="dxa"/>
          </w:tcPr>
          <w:p w14:paraId="67BC2EE9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</w:p>
        </w:tc>
        <w:tc>
          <w:tcPr>
            <w:tcW w:w="567" w:type="dxa"/>
          </w:tcPr>
          <w:p w14:paraId="39607F5B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</w:p>
        </w:tc>
        <w:tc>
          <w:tcPr>
            <w:tcW w:w="567" w:type="dxa"/>
          </w:tcPr>
          <w:p w14:paraId="46029050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</w:p>
        </w:tc>
        <w:tc>
          <w:tcPr>
            <w:tcW w:w="567" w:type="dxa"/>
          </w:tcPr>
          <w:p w14:paraId="6B672720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</w:p>
        </w:tc>
      </w:tr>
    </w:tbl>
    <w:p w14:paraId="25B6E0FE" w14:textId="77777777" w:rsidR="00B90FCA" w:rsidRPr="00F82FA3" w:rsidRDefault="00B90FCA" w:rsidP="00B90FCA">
      <w:pPr>
        <w:spacing w:after="0" w:line="240" w:lineRule="auto"/>
        <w:rPr>
          <w:rFonts w:eastAsia="Calibri" w:cstheme="minorHAnsi"/>
          <w:kern w:val="0"/>
          <w:sz w:val="36"/>
          <w:szCs w:val="36"/>
          <w:lang w:eastAsia="pt-BR"/>
          <w14:ligatures w14:val="non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</w:tblGrid>
      <w:tr w:rsidR="00B90FCA" w:rsidRPr="00F82FA3" w14:paraId="57F799A1" w14:textId="77777777" w:rsidTr="00874122">
        <w:trPr>
          <w:jc w:val="center"/>
        </w:trPr>
        <w:tc>
          <w:tcPr>
            <w:tcW w:w="562" w:type="dxa"/>
          </w:tcPr>
          <w:p w14:paraId="73E246AA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11</w:t>
            </w:r>
          </w:p>
        </w:tc>
        <w:tc>
          <w:tcPr>
            <w:tcW w:w="567" w:type="dxa"/>
          </w:tcPr>
          <w:p w14:paraId="4ABDD228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12</w:t>
            </w:r>
          </w:p>
        </w:tc>
        <w:tc>
          <w:tcPr>
            <w:tcW w:w="567" w:type="dxa"/>
          </w:tcPr>
          <w:p w14:paraId="6F341FAC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13</w:t>
            </w:r>
          </w:p>
        </w:tc>
        <w:tc>
          <w:tcPr>
            <w:tcW w:w="567" w:type="dxa"/>
          </w:tcPr>
          <w:p w14:paraId="3DAFECD7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14</w:t>
            </w:r>
          </w:p>
        </w:tc>
        <w:tc>
          <w:tcPr>
            <w:tcW w:w="567" w:type="dxa"/>
          </w:tcPr>
          <w:p w14:paraId="211DC88D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15</w:t>
            </w:r>
          </w:p>
        </w:tc>
        <w:tc>
          <w:tcPr>
            <w:tcW w:w="567" w:type="dxa"/>
          </w:tcPr>
          <w:p w14:paraId="0EA397E7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16</w:t>
            </w:r>
          </w:p>
        </w:tc>
        <w:tc>
          <w:tcPr>
            <w:tcW w:w="567" w:type="dxa"/>
          </w:tcPr>
          <w:p w14:paraId="350721C1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17</w:t>
            </w:r>
          </w:p>
        </w:tc>
        <w:tc>
          <w:tcPr>
            <w:tcW w:w="567" w:type="dxa"/>
          </w:tcPr>
          <w:p w14:paraId="6DA6C2BA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18</w:t>
            </w:r>
          </w:p>
        </w:tc>
        <w:tc>
          <w:tcPr>
            <w:tcW w:w="567" w:type="dxa"/>
          </w:tcPr>
          <w:p w14:paraId="31893CB4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19</w:t>
            </w:r>
          </w:p>
        </w:tc>
        <w:tc>
          <w:tcPr>
            <w:tcW w:w="567" w:type="dxa"/>
          </w:tcPr>
          <w:p w14:paraId="78EA84DA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</w:pPr>
            <w:r w:rsidRPr="00F82FA3">
              <w:rPr>
                <w:rFonts w:eastAsia="Calibri" w:cstheme="minorHAnsi"/>
                <w:b/>
                <w:bCs/>
                <w:kern w:val="0"/>
                <w:sz w:val="36"/>
                <w:szCs w:val="36"/>
                <w:lang w:eastAsia="pt-BR"/>
                <w14:ligatures w14:val="none"/>
              </w:rPr>
              <w:t>20</w:t>
            </w:r>
          </w:p>
        </w:tc>
      </w:tr>
      <w:tr w:rsidR="00B90FCA" w:rsidRPr="00F82FA3" w14:paraId="40E0B8AC" w14:textId="77777777" w:rsidTr="00874122">
        <w:trPr>
          <w:jc w:val="center"/>
        </w:trPr>
        <w:tc>
          <w:tcPr>
            <w:tcW w:w="562" w:type="dxa"/>
          </w:tcPr>
          <w:p w14:paraId="50CD87D5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</w:p>
        </w:tc>
        <w:tc>
          <w:tcPr>
            <w:tcW w:w="567" w:type="dxa"/>
          </w:tcPr>
          <w:p w14:paraId="77E0E81E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</w:p>
        </w:tc>
        <w:tc>
          <w:tcPr>
            <w:tcW w:w="567" w:type="dxa"/>
          </w:tcPr>
          <w:p w14:paraId="0A35BCC4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</w:p>
        </w:tc>
        <w:tc>
          <w:tcPr>
            <w:tcW w:w="567" w:type="dxa"/>
          </w:tcPr>
          <w:p w14:paraId="4A97540A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</w:p>
        </w:tc>
        <w:tc>
          <w:tcPr>
            <w:tcW w:w="567" w:type="dxa"/>
          </w:tcPr>
          <w:p w14:paraId="2A7FDD40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</w:p>
        </w:tc>
        <w:tc>
          <w:tcPr>
            <w:tcW w:w="567" w:type="dxa"/>
          </w:tcPr>
          <w:p w14:paraId="06579D05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</w:p>
        </w:tc>
        <w:tc>
          <w:tcPr>
            <w:tcW w:w="567" w:type="dxa"/>
          </w:tcPr>
          <w:p w14:paraId="6A2F8834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</w:p>
        </w:tc>
        <w:tc>
          <w:tcPr>
            <w:tcW w:w="567" w:type="dxa"/>
          </w:tcPr>
          <w:p w14:paraId="3C89265B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</w:p>
        </w:tc>
        <w:tc>
          <w:tcPr>
            <w:tcW w:w="567" w:type="dxa"/>
          </w:tcPr>
          <w:p w14:paraId="74914760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</w:p>
        </w:tc>
        <w:tc>
          <w:tcPr>
            <w:tcW w:w="567" w:type="dxa"/>
          </w:tcPr>
          <w:p w14:paraId="046C114F" w14:textId="77777777" w:rsidR="00B90FCA" w:rsidRPr="00F82FA3" w:rsidRDefault="00B90FCA" w:rsidP="00874122">
            <w:pPr>
              <w:spacing w:line="259" w:lineRule="auto"/>
              <w:jc w:val="center"/>
              <w:rPr>
                <w:rFonts w:eastAsia="Calibri" w:cstheme="minorHAnsi"/>
                <w:kern w:val="0"/>
                <w:sz w:val="36"/>
                <w:szCs w:val="36"/>
                <w:lang w:eastAsia="pt-BR"/>
                <w14:ligatures w14:val="none"/>
              </w:rPr>
            </w:pPr>
          </w:p>
        </w:tc>
      </w:tr>
    </w:tbl>
    <w:p w14:paraId="08198870" w14:textId="77777777" w:rsidR="00B90FCA" w:rsidRPr="00F82FA3" w:rsidRDefault="00B90FCA" w:rsidP="00B90FCA">
      <w:pPr>
        <w:spacing w:after="0" w:line="240" w:lineRule="auto"/>
        <w:jc w:val="center"/>
        <w:rPr>
          <w:rFonts w:eastAsia="Calibri" w:cstheme="minorHAnsi"/>
          <w:kern w:val="0"/>
          <w:lang w:eastAsia="pt-BR"/>
          <w14:ligatures w14:val="none"/>
        </w:rPr>
      </w:pPr>
    </w:p>
    <w:p w14:paraId="5693DE05" w14:textId="77777777" w:rsidR="00B90FCA" w:rsidRPr="00F82FA3" w:rsidRDefault="00B90FCA" w:rsidP="00B90FCA">
      <w:pPr>
        <w:spacing w:after="0" w:line="240" w:lineRule="auto"/>
        <w:rPr>
          <w:rFonts w:eastAsia="Calibri" w:cstheme="minorHAnsi"/>
          <w:kern w:val="0"/>
          <w:lang w:eastAsia="pt-BR"/>
          <w14:ligatures w14:val="none"/>
        </w:rPr>
      </w:pPr>
    </w:p>
    <w:p w14:paraId="01B93B8A" w14:textId="77777777" w:rsidR="00B90FCA" w:rsidRPr="00F82FA3" w:rsidRDefault="00B90FCA" w:rsidP="00B90FCA">
      <w:pPr>
        <w:spacing w:after="0" w:line="240" w:lineRule="auto"/>
        <w:rPr>
          <w:rFonts w:eastAsia="Calibri" w:cstheme="minorHAnsi"/>
          <w:kern w:val="0"/>
          <w:lang w:eastAsia="pt-BR"/>
          <w14:ligatures w14:val="none"/>
        </w:rPr>
      </w:pPr>
    </w:p>
    <w:p w14:paraId="3A2DC8D1" w14:textId="77777777" w:rsidR="00B90FCA" w:rsidRPr="00F82FA3" w:rsidRDefault="00B90FCA" w:rsidP="00B90FCA">
      <w:pPr>
        <w:tabs>
          <w:tab w:val="left" w:pos="1545"/>
        </w:tabs>
        <w:spacing w:after="0" w:line="240" w:lineRule="auto"/>
        <w:jc w:val="center"/>
        <w:rPr>
          <w:rFonts w:eastAsia="Calibri" w:cstheme="minorHAnsi"/>
          <w:kern w:val="0"/>
          <w:lang w:eastAsia="pt-BR"/>
          <w14:ligatures w14:val="none"/>
        </w:rPr>
      </w:pPr>
      <w:r w:rsidRPr="00F82FA3">
        <w:rPr>
          <w:rFonts w:eastAsia="Calibri" w:cstheme="minorHAnsi"/>
          <w:kern w:val="0"/>
          <w:lang w:eastAsia="pt-BR"/>
          <w14:ligatures w14:val="none"/>
        </w:rPr>
        <w:t>Via do candidato para conferência do gabarito</w:t>
      </w:r>
    </w:p>
    <w:p w14:paraId="097DCFCD" w14:textId="77777777" w:rsidR="00B90FCA" w:rsidRPr="00F82FA3" w:rsidRDefault="00B90FCA" w:rsidP="00B90FCA">
      <w:pPr>
        <w:spacing w:line="259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3A9995BC" w14:textId="77777777" w:rsidR="00B90FCA" w:rsidRDefault="00B90FCA" w:rsidP="00B90FCA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pt-BR"/>
          <w14:ligatures w14:val="none"/>
        </w:rPr>
      </w:pPr>
    </w:p>
    <w:p w14:paraId="488DBC02" w14:textId="77777777" w:rsidR="00B90FCA" w:rsidRPr="00907AED" w:rsidRDefault="00B90FCA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2A084759" w14:textId="77777777" w:rsidR="00907AED" w:rsidRP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62196050" w14:textId="77777777" w:rsidR="00907AED" w:rsidRP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10ABAC80" w14:textId="77777777" w:rsidR="00907AED" w:rsidRP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7626D6B6" w14:textId="49C708A8" w:rsidR="00907AED" w:rsidRPr="00907AED" w:rsidRDefault="00907AED" w:rsidP="00907AED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:u w:val="single"/>
          <w:lang w:eastAsia="pt-BR"/>
          <w14:ligatures w14:val="none"/>
        </w:rPr>
      </w:pPr>
    </w:p>
    <w:p w14:paraId="00A1319D" w14:textId="546213C1" w:rsidR="00341F5E" w:rsidRDefault="00341F5E" w:rsidP="009E0E31">
      <w:pPr>
        <w:jc w:val="both"/>
        <w:rPr>
          <w:rFonts w:ascii="Arial" w:hAnsi="Arial" w:cs="Arial"/>
          <w:sz w:val="24"/>
          <w:szCs w:val="24"/>
        </w:rPr>
      </w:pPr>
    </w:p>
    <w:sectPr w:rsidR="00341F5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34FD0" w14:textId="77777777" w:rsidR="00B238B9" w:rsidRDefault="00B238B9" w:rsidP="00B90FCA">
      <w:pPr>
        <w:spacing w:after="0" w:line="240" w:lineRule="auto"/>
      </w:pPr>
      <w:r>
        <w:separator/>
      </w:r>
    </w:p>
  </w:endnote>
  <w:endnote w:type="continuationSeparator" w:id="0">
    <w:p w14:paraId="3A42B482" w14:textId="77777777" w:rsidR="00B238B9" w:rsidRDefault="00B238B9" w:rsidP="00B9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F294E" w14:textId="77777777" w:rsidR="00B238B9" w:rsidRDefault="00B238B9" w:rsidP="00B90FCA">
      <w:pPr>
        <w:spacing w:after="0" w:line="240" w:lineRule="auto"/>
      </w:pPr>
      <w:r>
        <w:separator/>
      </w:r>
    </w:p>
  </w:footnote>
  <w:footnote w:type="continuationSeparator" w:id="0">
    <w:p w14:paraId="18E4E41D" w14:textId="77777777" w:rsidR="00B238B9" w:rsidRDefault="00B238B9" w:rsidP="00B90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931B8" w14:textId="4065011E" w:rsidR="00B90FCA" w:rsidRDefault="00B90FCA">
    <w:pPr>
      <w:pStyle w:val="Cabealho"/>
    </w:pPr>
    <w:r>
      <w:rPr>
        <w:noProof/>
      </w:rPr>
      <w:drawing>
        <wp:inline distT="0" distB="0" distL="0" distR="0" wp14:anchorId="276BB2C0" wp14:editId="26BD1F42">
          <wp:extent cx="5401310" cy="1048385"/>
          <wp:effectExtent l="0" t="0" r="8890" b="0"/>
          <wp:docPr id="106115994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B77215"/>
    <w:multiLevelType w:val="hybridMultilevel"/>
    <w:tmpl w:val="7FF8C202"/>
    <w:lvl w:ilvl="0" w:tplc="83BC2D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742915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5E"/>
    <w:rsid w:val="000051FA"/>
    <w:rsid w:val="00043EFE"/>
    <w:rsid w:val="000F7436"/>
    <w:rsid w:val="0016229D"/>
    <w:rsid w:val="001627B7"/>
    <w:rsid w:val="001C53C4"/>
    <w:rsid w:val="001F3FD1"/>
    <w:rsid w:val="00251343"/>
    <w:rsid w:val="00341F5E"/>
    <w:rsid w:val="003D1592"/>
    <w:rsid w:val="004351C0"/>
    <w:rsid w:val="004A227A"/>
    <w:rsid w:val="0063419D"/>
    <w:rsid w:val="0066737A"/>
    <w:rsid w:val="00734B71"/>
    <w:rsid w:val="0075520E"/>
    <w:rsid w:val="008D18C8"/>
    <w:rsid w:val="00907AED"/>
    <w:rsid w:val="009A1A2D"/>
    <w:rsid w:val="009E0E31"/>
    <w:rsid w:val="009F21C0"/>
    <w:rsid w:val="00AC0120"/>
    <w:rsid w:val="00B238B9"/>
    <w:rsid w:val="00B90FCA"/>
    <w:rsid w:val="00BB3DF9"/>
    <w:rsid w:val="00BB4D6C"/>
    <w:rsid w:val="00C1708E"/>
    <w:rsid w:val="00FA1700"/>
    <w:rsid w:val="00FC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C8642"/>
  <w15:chartTrackingRefBased/>
  <w15:docId w15:val="{F6FC7B09-16DD-4DEA-A310-B6BDD274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F5E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41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41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1F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1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41F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1F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41F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41F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41F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1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41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1F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1F5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41F5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1F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41F5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41F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41F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41F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41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41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41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41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41F5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41F5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41F5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41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41F5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41F5E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9F2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90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0FCA"/>
  </w:style>
  <w:style w:type="paragraph" w:styleId="Rodap">
    <w:name w:val="footer"/>
    <w:basedOn w:val="Normal"/>
    <w:link w:val="RodapChar"/>
    <w:uiPriority w:val="99"/>
    <w:unhideWhenUsed/>
    <w:rsid w:val="00B90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0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3041</Words>
  <Characters>16424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INDET</dc:creator>
  <cp:keywords/>
  <dc:description/>
  <cp:lastModifiedBy>INDET</cp:lastModifiedBy>
  <cp:revision>5</cp:revision>
  <cp:lastPrinted>2025-09-26T13:31:00Z</cp:lastPrinted>
  <dcterms:created xsi:type="dcterms:W3CDTF">2025-09-26T13:40:00Z</dcterms:created>
  <dcterms:modified xsi:type="dcterms:W3CDTF">2025-09-26T16:37:00Z</dcterms:modified>
</cp:coreProperties>
</file>